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d81b12d6bf7f4aeb"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49227</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CENTAR ZA KULTURU DRAGO BRITVIĆ</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150.890,97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185.093,13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148.174,60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180.527,12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2.716,37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4.566,01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168,1</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2.535,00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4.747,40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187,3</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2.535,00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4.747,40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187,3</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181,39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bl>
    <w:p>
      <w:pPr>
        <w:spacing w:before="0" w:after="0"/>
      </w:pPr>
    </w:p>
    <w:p>
      <w:r>
        <w:t xml:space="preserve">Prihodi i rashodi ostvareni su u okvirima planiranih sredstava.</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150.890,97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185.093,13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122,7</w:t>
            </w:r>
          </w:p>
        </w:tc>
      </w:tr>
    </w:tbl>
    <w:p>
      <w:pPr>
        <w:spacing w:before="0" w:after="0"/>
      </w:pPr>
    </w:p>
    <w:p>
      <w:r>
        <w:t xml:space="preserve">Prihodi poslovanja ostvareni su u iznosu 185.093,13 eura, više u odnosu na prethodnu godinu za isto razdoblje. Najznačajnije povećanje prihoda poslovanja ostvareno je od pomoći iz nadležnog proračuna za financiranje redovne djelatnosti. Osim za redovito poslovanje Centra, za koje su više prenesena sredstva iz općinskog proračuna u odnosu na prethodnu godinu, nije bilo ulaganja niti prijenosa sredstava za uređenje Doma kulture. Radi povećanja broja održavanja kulturnih manifestacija i kino predstavi te većeg broja posjeta u Interpretacijski centar, veće je i ostvarenje prihoda od prodaje ulaznica.</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148.174,60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180.527,12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121,8</w:t>
            </w:r>
          </w:p>
        </w:tc>
      </w:tr>
    </w:tbl>
    <w:p>
      <w:pPr>
        <w:spacing w:before="0" w:after="0"/>
      </w:pPr>
    </w:p>
    <w:p>
      <w:r>
        <w:t xml:space="preserve">Rashodi poslovanja izvršeni su u iznosu 180.527,12 eura. Najznačajnije povećanje rashoda evidentirano je na materijalnim rashodima odnosno stavci rashoda za usluge vezano za projekcije filmova i održavanje kulturnih događaja i aktivnosti.  Veće je izvršenje u odnosu na prethodnu godinu radi većeg broja održavanja kulturnih događanja i aktivnosti u Domu Kulture i Interpretacijskom centru Preradović. Najznačajnije smanjenje rashoda poslovanja bilježi se na rashodima za tekuće donacije. Utrošena su sredstva za materijalne rashode vezano za održavanje glazbenih izvedbi te organizacije i manifestacije na području općine, materijalne rashode i usluge vezano za djelatnost Centra, te plaće i naknade za stalno zaposlenog djelatnika.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2.535,00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4.747,40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187,3</w:t>
            </w:r>
          </w:p>
        </w:tc>
      </w:tr>
    </w:tbl>
    <w:p>
      <w:pPr>
        <w:spacing w:before="0" w:after="0"/>
      </w:pPr>
    </w:p>
    <w:p>
      <w:r>
        <w:t xml:space="preserve">U ovom razdoblju nije bilo većeg ulaganja na uređenju dvorane Doma kulture. Utrošena sredstva u iznosu 4.747,40 eura odnose se na nabavu opreme - višekrilne prozore u svlačionice iza pozornice dvorane i hladnjak za izvođače u Domu kulture.</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IMOVINA (šifre B002+1)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3.809,77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6.208,23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163,0</w:t>
            </w:r>
          </w:p>
        </w:tc>
      </w:tr>
    </w:tbl>
    <w:p>
      <w:pPr>
        <w:spacing w:before="0" w:after="0"/>
      </w:pPr>
    </w:p>
    <w:p>
      <w:r>
        <w:t xml:space="preserve">Imovina se sastoji od nefinancijske imovine, opreme i uređaja u iznosu 6.167,98 eura te financijske imovine 40,25 eura na kontu potraživanja za prihode od prodaje ulaznica.</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I VLASTITI IZVORI (šifre 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B003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3.809,77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6.208,23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163,0</w:t>
            </w:r>
          </w:p>
        </w:tc>
      </w:tr>
    </w:tbl>
    <w:p>
      <w:pPr>
        <w:spacing w:before="0" w:after="0"/>
      </w:pPr>
    </w:p>
    <w:p>
      <w:r>
        <w:t xml:space="preserve">Obveze i vlastiti izvori u iznosu 6.208,23 sastoje se od vlastitih izvora, a obveza nema. </w:t>
      </w:r>
    </w:p>
    <w:p/>
    <w:p>
      <w:pPr>
        <w:jc w:val="center"/>
        <w:pStyle w:val="Normal"/>
        <w:spacing w:line="240" w:lineRule="auto"/>
        <w:keepNext/>
      </w:pPr>
      <w:r>
        <w:rPr>
          <w:b/>
          <w:sz w:val="28"/>
          <w:rFonts w:ascii="Times New Roman" w:hAnsi="Times New Roman"/>
        </w:rPr>
        <w:t xml:space="preserve">Izvještaj o rashodima prema funkcijskoj klasifikaciji</w:t>
      </w:r>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rekreaciju, kulturu i religiju koji nisu drugdje svrstani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086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150.709,60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185.274,52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122,9</w:t>
            </w:r>
          </w:p>
        </w:tc>
      </w:tr>
    </w:tbl>
    <w:p>
      <w:pPr>
        <w:spacing w:before="0" w:after="0"/>
      </w:pPr>
    </w:p>
    <w:p>
      <w:r>
        <w:t xml:space="preserve">Rashodi u iznosu 185.274,52 eura evidentirani su u skupini 086 rashodi za rekreaciju, kulturu i religiju koji nisu drugdje svrstani.</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vrijednosti i obujmu imovine (šifre 91511+91512)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Nije bilo promjena u vrijednosti i obujmu imovine i obveza.</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Sve naknjižene obveze u iznosu 184.475,90 eura su i podmirene.</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60aa1bae93954b48" /></Relationships>
</file>