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Types>
</file>

<file path=_rels/.rels>&#65279;<?xml version="1.0" encoding="utf-8"?><Relationships xmlns="http://schemas.openxmlformats.org/package/2006/relationships"><Relationship Type="http://schemas.openxmlformats.org/officeDocument/2006/relationships/officeDocument" Target="/word/document.xml" Id="R6af8f8980c974783" /></Relationships>
</file>

<file path=word/document.xml><?xml version="1.0" encoding="utf-8"?>
<w:document xmlns:w="http://schemas.openxmlformats.org/wordprocessingml/2006/main">
  <w:body>
    <w:tbl>
      <w:tblPr>
        <w:tblW w:w="9000" w:type="dxa"/>
        <w:tblBorders>
          <w:top w:val="nil"/>
          <w:bottom w:val="nil"/>
          <w:left w:val="nil"/>
          <w:right w:val="nil"/>
          <w:insideH w:val="nil"/>
          <w:insideV w:val="nil"/>
        </w:tblBorders>
        <w:tblCellSpacing w:w="60" w:type="dxa"/>
        <w:shd w:val="clear" w:color="auto" w:fill="E7F0F9"/>
      </w:tblPr>
      <w:tblGrid>
        <w:gridCol w:w="1200"/>
        <w:gridCol w:w="4500"/>
      </w:tblGrid>
      <w:tr>
        <w:tc>
          <w:tcPr>
            <w:tcW w:w="1200" w:type="pct"/>
            <w:shd w:val="clear" w:color="auto" w:fill="E7F0F9"/>
          </w:tcPr>
          <w:p>
            <w:pPr>
              <w:spacing w:before="0" w:after="0" w:line="240" w:lineRule="auto"/>
              <w:jc w:val="left"/>
            </w:pPr>
            <w:r>
              <w:rPr>
                <w:b/>
              </w:rPr>
              <w:t xml:space="preserve">RKP broj</w:t>
            </w:r>
          </w:p>
        </w:tc>
        <w:tc>
          <w:tcPr>
            <w:shd w:val="clear" w:color="auto" w:fill="E7F0F9"/>
          </w:tcPr>
          <w:p>
            <w:pPr>
              <w:spacing w:before="0" w:after="0" w:line="240" w:lineRule="auto"/>
              <w:jc w:val="left"/>
            </w:pPr>
            <w:r>
              <w:t xml:space="preserve">40512</w:t>
            </w:r>
          </w:p>
        </w:tc>
      </w:tr>
      <w:tr>
        <w:tc>
          <w:tcPr>
            <w:tcW w:w="1200" w:type="pct"/>
            <w:shd w:val="clear" w:color="auto" w:fill="E7F0F9"/>
          </w:tcPr>
          <w:p>
            <w:pPr>
              <w:spacing w:before="0" w:after="0" w:line="240" w:lineRule="auto"/>
              <w:jc w:val="left"/>
            </w:pPr>
            <w:r>
              <w:rPr>
                <w:b/>
              </w:rPr>
              <w:t xml:space="preserve">Naziv obveznika</w:t>
            </w:r>
          </w:p>
        </w:tc>
        <w:tc>
          <w:tcPr>
            <w:shd w:val="clear" w:color="auto" w:fill="E7F0F9"/>
          </w:tcPr>
          <w:p>
            <w:pPr>
              <w:spacing w:before="0" w:after="0" w:line="240" w:lineRule="auto"/>
              <w:jc w:val="left"/>
            </w:pPr>
            <w:r>
              <w:t xml:space="preserve">KNJIŽNICA I ČITAONICA PITOMAČA</w:t>
            </w:r>
          </w:p>
        </w:tc>
      </w:tr>
      <w:tr>
        <w:tc>
          <w:tcPr>
            <w:tcW w:w="1200" w:type="pct"/>
            <w:shd w:val="clear" w:color="auto" w:fill="E7F0F9"/>
          </w:tcPr>
          <w:p>
            <w:pPr>
              <w:spacing w:before="0" w:after="0" w:line="240" w:lineRule="auto"/>
              <w:jc w:val="left"/>
            </w:pPr>
            <w:r>
              <w:rPr>
                <w:b/>
              </w:rPr>
              <w:t xml:space="preserve">Razina</w:t>
            </w:r>
          </w:p>
        </w:tc>
        <w:tc>
          <w:tcPr>
            <w:shd w:val="clear" w:color="auto" w:fill="E7F0F9"/>
          </w:tcPr>
          <w:p>
            <w:pPr>
              <w:spacing w:before="0" w:after="0" w:line="240" w:lineRule="auto"/>
              <w:jc w:val="left"/>
            </w:pPr>
            <w:r>
              <w:t xml:space="preserve">21</w:t>
            </w:r>
          </w:p>
        </w:tc>
      </w:tr>
    </w:tbl>
    <w:p>
      <w:r>
        <w:br/>
      </w:r>
    </w:p>
    <w:p>
      <w:pPr>
        <w:jc w:val="center"/>
        <w:pStyle w:val="Normal"/>
        <w:spacing w:line="240" w:lineRule="auto"/>
      </w:pPr>
      <w:r>
        <w:rPr>
          <w:b/>
          <w:sz w:val="28"/>
          <w:rFonts w:ascii="Times New Roman" w:hAnsi="Times New Roman"/>
        </w:rPr>
        <w:t xml:space="preserve">BILJEŠKE UZ FINANCIJSKE IZVJEŠTAJE</w:t>
      </w:r>
    </w:p>
    <w:p>
      <w:pPr>
        <w:jc w:val="center"/>
        <w:pStyle w:val="Normal"/>
        <w:spacing w:line="240" w:lineRule="auto"/>
      </w:pPr>
      <w:r>
        <w:rPr>
          <w:b/>
          <w:sz w:val="28"/>
          <w:rFonts w:ascii="Times New Roman" w:hAnsi="Times New Roman"/>
        </w:rPr>
        <w:t xml:space="preserve">ZA RAZDOBLJE</w:t>
      </w:r>
    </w:p>
    <w:p>
      <w:pPr>
        <w:jc w:val="center"/>
        <w:pStyle w:val="Normal"/>
        <w:spacing w:line="240" w:lineRule="auto"/>
      </w:pPr>
      <w:r>
        <w:rPr>
          <w:b/>
          <w:sz w:val="28"/>
          <w:rFonts w:ascii="Times New Roman" w:hAnsi="Times New Roman"/>
        </w:rPr>
        <w:t xml:space="preserve">I - XII 2025.</w:t>
      </w:r>
    </w:p>
    <w:p/>
    <w:p>
      <w:pPr>
        <w:jc w:val="center"/>
        <w:pStyle w:val="Normal"/>
        <w:spacing w:line="240" w:lineRule="auto"/>
        <w:keepNext/>
      </w:pPr>
      <w:r>
        <w:rPr>
          <w:b/>
          <w:sz w:val="28"/>
          <w:rFonts w:ascii="Times New Roman" w:hAnsi="Times New Roman"/>
        </w:rPr>
        <w:t xml:space="preserve">Izvještaj o prihodima i rashodima, primicima i izdacima</w:t>
      </w:r>
    </w:p>
    <w:p>
      <w:pPr>
        <w:jc w:val="center"/>
        <w:pStyle w:val="Normal"/>
        <w:spacing w:line="240" w:lineRule="auto"/>
        <w:keepNext/>
      </w:pPr>
      <w:r>
        <w:rPr>
          <w:sz w:val="28"/>
          <w:rFonts w:ascii="Times New Roman" w:hAnsi="Times New Roman"/>
        </w:rPr>
        <w:t xml:space="preserve">Bilješka 1.</w:t>
      </w:r>
    </w:p>
    <w:tbl>
      <w:tblPr>
        <w:tblBorders>
          <w:top w:val="single" w:color="BABABA" w:sz="12"/>
          <w:bottom w:val="single" w:color="BABABA" w:sz="12"/>
          <w:left w:val="single" w:color="BABABA" w:sz="12"/>
          <w:right w:val="single" w:color="BABABA" w:sz="12"/>
          <w:insideH w:val="single" w:color="BABABA" w:sz="8"/>
          <w:insideV w:val="single" w:color="DADADA" w:sz="8"/>
        </w:tblBorders>
        <w:tblW w:w="0" w:type="auto"/>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6</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PRIHODI POSLOVANJA (šifre 61+62+63+64+65+66+67+68)</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6</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84.007,21</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76.461,08</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91,0</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RASHODI POSLOVANJA (šifre 31+32+34+35+36+37+38) </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36.622,24</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43.637,75</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119,2</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b/>
              </w:rPr>
              <w:t> </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b/>
              </w:rPr>
              <w:t>VIŠAK PRIHODA POSLOVANJA (šifre 6-Z005) </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b/>
              </w:rPr>
              <w:t>X001</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b/>
              </w:rPr>
              <w:t>47.384,97</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b/>
              </w:rPr>
              <w:t>32.823,33</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b/>
              </w:rPr>
              <w:t>69,3</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7</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Prihodi od prodaje nefinancijske imovine (šifre 71+72+73+74)</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7</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4</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Rashodi za nabavu nefinancijske imovine (šifre 41+42+43+44+45)</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4</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47.747,33</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32.539,15</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68,1</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b/>
              </w:rPr>
              <w:t> </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b/>
              </w:rPr>
              <w:t>MANJAK PRIHODA OD NEFINANCIJSKE IMOVINE (šifre 4-7)</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b/>
              </w:rPr>
              <w:t>Y002</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b/>
              </w:rPr>
              <w:t>47.747,33</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b/>
              </w:rPr>
              <w:t>32.539,15</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b/>
              </w:rPr>
              <w:t>68,1</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8</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Primici od financijske imovine i zaduživanja (šifre 81+82+83+84+85)</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8</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5</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Izdaci za financijsku imovinu i otplate zajmova (šifre 51+52+53+54+55)</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5</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b/>
              </w:rPr>
              <w:t> </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b/>
              </w:rPr>
              <w:t>VIŠAK/MANJAK PRIMITAKA OD FINANCIJSKE IMOVINE I ZADUŽIVANJA (šifre 8-5, 5-8)</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b/>
              </w:rPr>
              <w:t>X003, Y003</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b/>
              </w:rPr>
              <w:t>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b/>
              </w:rPr>
              <w:t>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b/>
              </w:rPr>
              <w:t>-</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b/>
              </w:rPr>
              <w:t> </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b/>
              </w:rPr>
              <w:t>VIŠAK PRIHODA I PRIMITAKA (šifre X678-Y345)</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b/>
              </w:rPr>
              <w:t>X005</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b/>
              </w:rPr>
              <w:t>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b/>
              </w:rPr>
              <w:t>284,18</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b/>
              </w:rPr>
              <w:t>-</w:t>
            </w:r>
          </w:p>
        </w:tc>
      </w:tr>
    </w:tbl>
    <w:p>
      <w:pPr>
        <w:spacing w:before="0" w:after="0"/>
      </w:pPr>
    </w:p>
    <w:p>
      <w:r>
        <w:t xml:space="preserve">Prihodi i rashodi ostvareni su u okvirima planiranih sredstava.</w:t>
      </w:r>
    </w:p>
    <w:p>
      <w:r>
        <w:br/>
      </w:r>
    </w:p>
    <w:p>
      <w:pPr>
        <w:jc w:val="center"/>
        <w:pStyle w:val="Normal"/>
        <w:spacing w:line="240" w:lineRule="auto"/>
        <w:keepNext/>
      </w:pPr>
      <w:r>
        <w:rPr>
          <w:sz w:val="28"/>
          <w:rFonts w:ascii="Times New Roman" w:hAnsi="Times New Roman"/>
        </w:rPr>
        <w:t xml:space="preserve">Bilješka 2.</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6</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PRIHODI POSLOVANJA (šifre 61+62+63+64+65+66+67+68)</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6</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84.007,21</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76.461,08</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91,0</w:t>
            </w:r>
          </w:p>
        </w:tc>
      </w:tr>
    </w:tbl>
    <w:p>
      <w:pPr>
        <w:spacing w:before="0" w:after="0"/>
      </w:pPr>
    </w:p>
    <w:p>
      <w:r>
        <w:t xml:space="preserve">U razdoblju od 1. siječnja do 31. prosinca 2025. godine </w:t>
      </w:r>
      <w:r>
        <w:rPr>
          <w:b/>
        </w:rPr>
        <w:t xml:space="preserve">prihodi poslovanja</w:t>
      </w:r>
      <w:r>
        <w:t xml:space="preserve"> ostvareni su u iznosu od 76.461,08 EUR. Najznačajnije povećanje prihoda poslovanja ostvareno je od prihoda iz nadležnog proračuna za financiranje rashoda poslovanja radi sufinanciranja raznih programa knjižnične djelatnosti, kao što su „Mala škola filma”, izložba zavičajnih fotografija, interaktivne radionice. Za sufinanciranje istih programa, sredstva su doznačena i od Ministarstva kulture i medija. Najznačajnije smanjenje prihoda poslovanja bilježi se na stavci prihoda iz nadležnog proračuna za financiranje rashoda za nabavu nefinancijske imovine, kao i smanjenje prihoda kapitalnih pomoći iz proračuna koji im nije nadležan, a sve radi izvršenih građevinskih radova u prethodnoj godini.</w:t>
      </w:r>
    </w:p>
    <w:p/>
    <w:p>
      <w:pPr>
        <w:jc w:val="center"/>
        <w:pStyle w:val="Normal"/>
        <w:spacing w:line="240" w:lineRule="auto"/>
        <w:keepNext/>
      </w:pPr>
      <w:r>
        <w:rPr>
          <w:sz w:val="28"/>
          <w:rFonts w:ascii="Times New Roman" w:hAnsi="Times New Roman"/>
        </w:rPr>
        <w:t xml:space="preserve">Bilješka 3.</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RASHODI POSLOVANJA (šifre 31+32+34+35+36+37+38) </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36.622,24</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43.637,75</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119,2</w:t>
            </w:r>
          </w:p>
        </w:tc>
      </w:tr>
    </w:tbl>
    <w:p>
      <w:pPr>
        <w:spacing w:before="0" w:after="0"/>
      </w:pPr>
    </w:p>
    <w:p>
      <w:r>
        <w:t xml:space="preserve">Rashodi poslovanja u razdoblju od 1. siječnja do 31. prosinca 2025. godine ostvareni su u iznosu od 43.637,75 EUR. Najznačajnije povećanje rashoda poslovanja evidentirano je na stavci rashoda za zaposlene zbog povećanja plaće i kod rashoda za usluge zbog održavanja raznih programa i manifestacija u Knjižnici. Najznačajnije smanjenje rashoda poslovanja bilježi se na materijalnim rashodima odnosno stavci rashoda za materijal i energiju (ušteda zbog fotonaponske elektrane).</w:t>
      </w:r>
    </w:p>
    <w:p/>
    <w:p>
      <w:pPr>
        <w:jc w:val="center"/>
        <w:pStyle w:val="Normal"/>
        <w:spacing w:line="240" w:lineRule="auto"/>
        <w:keepNext/>
      </w:pPr>
      <w:r>
        <w:rPr>
          <w:sz w:val="28"/>
          <w:rFonts w:ascii="Times New Roman" w:hAnsi="Times New Roman"/>
        </w:rPr>
        <w:t xml:space="preserve">Bilješka 4.</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4</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Rashodi za nabavu nefinancijske imovine (šifre 41+42+43+44+45)</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4</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47.747,33</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32.539,15</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68,1</w:t>
            </w:r>
          </w:p>
        </w:tc>
      </w:tr>
    </w:tbl>
    <w:p>
      <w:pPr>
        <w:spacing w:before="0" w:after="0"/>
      </w:pPr>
    </w:p>
    <w:p>
      <w:r>
        <w:t xml:space="preserve">U navedenom razdoblju nije bilo većih ulaganja na uređenju Knjižnice i čitaonice. Utrošena sredstva u iznosu 32.539,15 EUR odnose se na nabavu računala, fotonaponske elektrane i knjiga. Najznačajnije smanjenje rashoda za nabavu nefinancijske imovine bilježi se na stavci rashoda za dodatna ulaganja na nefinancijskoj imovini zbog završenih građevinskih radova na zgradi Knjižnice. </w:t>
      </w:r>
    </w:p>
    <w:p/>
    <w:p>
      <w:pPr>
        <w:jc w:val="center"/>
        <w:pStyle w:val="Normal"/>
        <w:spacing w:line="240" w:lineRule="auto"/>
        <w:keepNext/>
      </w:pPr>
      <w:r>
        <w:rPr>
          <w:b/>
          <w:sz w:val="28"/>
          <w:rFonts w:ascii="Times New Roman" w:hAnsi="Times New Roman"/>
        </w:rPr>
        <w:t xml:space="preserve">Bilanca</w:t>
      </w:r>
    </w:p>
    <w:p>
      <w:pPr>
        <w:jc w:val="center"/>
        <w:pStyle w:val="Normal"/>
        <w:spacing w:line="240" w:lineRule="auto"/>
        <w:keepNext/>
      </w:pPr>
      <w:r>
        <w:rPr>
          <w:sz w:val="28"/>
          <w:rFonts w:ascii="Times New Roman" w:hAnsi="Times New Roman"/>
        </w:rPr>
        <w:t xml:space="preserve">Bilješka 5.</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Stanje 1. siječnja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Stanje 31. prosinca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IMOVINA (šifre B002+1)</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B001</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48.497,91</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60.873,05</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125,5</w:t>
            </w:r>
          </w:p>
        </w:tc>
      </w:tr>
    </w:tbl>
    <w:p>
      <w:pPr>
        <w:spacing w:before="0" w:after="0"/>
      </w:pPr>
    </w:p>
    <w:p>
      <w:r>
        <w:t xml:space="preserve">Imovina se sastoji od nefinancijske imovine, opreme i uređaja, u iznosu 60.085,08 eura, te financijske imovine 787,97 eura na kontu potraživanja proračunskih korisnika za sredstva uplaćena u nadležni proračun. Do povećanja imovine je došlo radi ugradnje fotonaponske elektrane i nabave računala i knjižnog fonda. </w:t>
      </w:r>
    </w:p>
    <w:p/>
    <w:p>
      <w:pPr>
        <w:jc w:val="center"/>
        <w:pStyle w:val="Normal"/>
        <w:spacing w:line="240" w:lineRule="auto"/>
        <w:keepNext/>
      </w:pPr>
      <w:r>
        <w:rPr>
          <w:sz w:val="28"/>
          <w:rFonts w:ascii="Times New Roman" w:hAnsi="Times New Roman"/>
        </w:rPr>
        <w:t xml:space="preserve">Bilješka 6.</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Stanje 1. siječnja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Stanje 31. prosinca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OBVEZE I VLASTITI IZVORI (šifre 2+9)</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B003</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48.497,91</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60.873,05</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125,5</w:t>
            </w:r>
          </w:p>
        </w:tc>
      </w:tr>
    </w:tbl>
    <w:p>
      <w:pPr>
        <w:spacing w:before="0" w:after="0"/>
      </w:pPr>
    </w:p>
    <w:p>
      <w:r>
        <w:t xml:space="preserve">Obveze i vlastiti izvori u iznosu 60.873,05 sastoje se od vlastitih izvora, a obveza nema. </w:t>
      </w:r>
    </w:p>
    <w:p/>
    <w:p>
      <w:pPr>
        <w:jc w:val="center"/>
        <w:pStyle w:val="Normal"/>
        <w:spacing w:line="240" w:lineRule="auto"/>
        <w:keepNext/>
      </w:pPr>
      <w:r>
        <w:rPr>
          <w:b/>
          <w:sz w:val="28"/>
          <w:rFonts w:ascii="Times New Roman" w:hAnsi="Times New Roman"/>
        </w:rPr>
        <w:t xml:space="preserve">Izvještaj o rashodima prema funkcijskoj klasifikaciji</w:t>
      </w:r>
    </w:p>
    <w:p>
      <w:pPr>
        <w:jc w:val="center"/>
        <w:pStyle w:val="Normal"/>
        <w:spacing w:line="240" w:lineRule="auto"/>
        <w:keepNext/>
      </w:pPr>
      <w:r>
        <w:rPr>
          <w:sz w:val="28"/>
          <w:rFonts w:ascii="Times New Roman" w:hAnsi="Times New Roman"/>
        </w:rPr>
        <w:t xml:space="preserve">Bilješka 7.</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082</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Službe kulture</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082</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84.369,57</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76.176,90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90,3</w:t>
            </w:r>
          </w:p>
        </w:tc>
      </w:tr>
    </w:tbl>
    <w:p>
      <w:pPr>
        <w:spacing w:before="0" w:after="0"/>
      </w:pPr>
    </w:p>
    <w:p>
      <w:r>
        <w:t xml:space="preserve">Rashodi u iznosu 76.176,90 eura evidentirani su u skupini 082 rashodi za službu kulture koji nisu drugdje svrstani.</w:t>
      </w:r>
    </w:p>
    <w:p/>
    <w:p>
      <w:pPr>
        <w:jc w:val="center"/>
        <w:pStyle w:val="Normal"/>
        <w:spacing w:line="240" w:lineRule="auto"/>
        <w:keepNext/>
      </w:pPr>
      <w:r>
        <w:rPr>
          <w:b/>
          <w:sz w:val="28"/>
          <w:rFonts w:ascii="Times New Roman" w:hAnsi="Times New Roman"/>
        </w:rPr>
        <w:t xml:space="preserve">Promjene u vrijednosti i obujmu imovine i obveza</w:t>
      </w:r>
    </w:p>
    <w:p>
      <w:pPr>
        <w:jc w:val="center"/>
        <w:pStyle w:val="Normal"/>
        <w:spacing w:line="240" w:lineRule="auto"/>
        <w:keepNext/>
      </w:pPr>
      <w:r>
        <w:rPr>
          <w:sz w:val="28"/>
          <w:rFonts w:ascii="Times New Roman" w:hAnsi="Times New Roman"/>
        </w:rPr>
        <w:t xml:space="preserve">Bilješka 8.</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Iznos povećanja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Iznos smanjenja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9151</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Promjene u vrijednosti i obujmu imovine (šifre 91511+91512)</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9151</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w:t>
            </w:r>
          </w:p>
        </w:tc>
      </w:tr>
    </w:tbl>
    <w:p>
      <w:pPr>
        <w:spacing w:before="0" w:after="0"/>
      </w:pPr>
    </w:p>
    <w:p>
      <w:r>
        <w:t xml:space="preserve">Nije bilo promjena u vrijednosti i obujmu imovine i obveza.</w:t>
      </w:r>
    </w:p>
    <w:p/>
    <w:p>
      <w:pPr>
        <w:jc w:val="center"/>
        <w:pStyle w:val="Normal"/>
        <w:spacing w:line="240" w:lineRule="auto"/>
        <w:keepNext/>
      </w:pPr>
      <w:r>
        <w:rPr>
          <w:b/>
          <w:sz w:val="28"/>
          <w:rFonts w:ascii="Times New Roman" w:hAnsi="Times New Roman"/>
        </w:rPr>
        <w:t xml:space="preserve">Izvještaj o obvezama</w:t>
      </w:r>
    </w:p>
    <w:p>
      <w:pPr>
        <w:jc w:val="center"/>
        <w:pStyle w:val="Normal"/>
        <w:spacing w:line="240" w:lineRule="auto"/>
        <w:keepNext/>
      </w:pPr>
      <w:r>
        <w:rPr>
          <w:sz w:val="28"/>
          <w:rFonts w:ascii="Times New Roman" w:hAnsi="Times New Roman"/>
        </w:rPr>
        <w:t xml:space="preserve">Bilješka 9.</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Iznos</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Stanje dospjelih obveza na kraju izvještajnog razdoblja (šifre V008+D23+D24 + 'D dio 25,26' + D27)</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V007</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w:t>
            </w:r>
          </w:p>
        </w:tc>
      </w:tr>
    </w:tbl>
    <w:p>
      <w:pPr>
        <w:spacing w:before="0" w:after="0"/>
      </w:pPr>
    </w:p>
    <w:p>
      <w:r>
        <w:t xml:space="preserve">Sve naknjižene obveze u iznosu 76.176,90 eura su i podmirene.</w:t>
      </w:r>
    </w:p>
    <w:p/>
  </w:body>
</w:document>
</file>

<file path=word/styles.xml><?xml version="1.0" encoding="utf-8"?>
<w:styles xmlns:w="http://schemas.openxmlformats.org/wordprocessingml/2006/main">
  <w:docDefaults>
    <w:rPrDefault>
      <w:rPr>
        <w:rFonts w:ascii="Times New Roman" w:hAnsi="Times New Roman"/>
        <w:sz w:val="24"/>
      </w:rPr>
    </w:rPrDefault>
  </w:docDefaults>
  <w:style w:type="paragraph" w:styleId="Normal" w:default="true">
    <w:name w:val="Normal"/>
    <w:rPr>
      <w:rFonts w:ascii="Times New Roman" w:hAnsi="Times New Roman"/>
      <w:sz w:val="24"/>
    </w:rPr>
  </w:style>
</w:styles>
</file>

<file path=word/_rels/document.xml.rels>&#65279;<?xml version="1.0" encoding="utf-8"?><Relationships xmlns="http://schemas.openxmlformats.org/package/2006/relationships"><Relationship Type="http://schemas.openxmlformats.org/officeDocument/2006/relationships/styles" Target="/word/styles.xml" Id="R04e9b677a91a4f7c" /></Relationships>
</file>