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69ba520f2d154c50" /></Relationships>
</file>

<file path=word/document.xml><?xml version="1.0" encoding="utf-8"?>
<w:document xmlns:w="http://schemas.openxmlformats.org/wordprocessingml/2006/main">
  <w:body>
    <w:tbl>
      <w:tblPr>
        <w:tblW w:w="9000" w:type="dxa"/>
        <w:tblBorders>
          <w:top w:val="nil"/>
          <w:bottom w:val="nil"/>
          <w:left w:val="nil"/>
          <w:right w:val="nil"/>
          <w:insideH w:val="nil"/>
          <w:insideV w:val="nil"/>
        </w:tblBorders>
        <w:tblCellSpacing w:w="60" w:type="dxa"/>
        <w:shd w:val="clear" w:color="auto" w:fill="E7F0F9"/>
      </w:tblPr>
      <w:tblGrid>
        <w:gridCol w:w="1200"/>
        <w:gridCol w:w="4500"/>
      </w:tblGrid>
      <w:tr>
        <w:tc>
          <w:tcPr>
            <w:tcW w:w="1200" w:type="pct"/>
            <w:shd w:val="clear" w:color="auto" w:fill="E7F0F9"/>
          </w:tcPr>
          <w:p>
            <w:pPr>
              <w:spacing w:before="0" w:after="0" w:line="240" w:lineRule="auto"/>
              <w:jc w:val="left"/>
            </w:pPr>
            <w:r>
              <w:rPr>
                <w:b/>
              </w:rPr>
              <w:t xml:space="preserve">RKP broj</w:t>
            </w:r>
          </w:p>
        </w:tc>
        <w:tc>
          <w:tcPr>
            <w:shd w:val="clear" w:color="auto" w:fill="E7F0F9"/>
          </w:tcPr>
          <w:p>
            <w:pPr>
              <w:spacing w:before="0" w:after="0" w:line="240" w:lineRule="auto"/>
              <w:jc w:val="left"/>
            </w:pPr>
            <w:r>
              <w:t xml:space="preserve">33064</w:t>
            </w:r>
          </w:p>
        </w:tc>
      </w:tr>
      <w:tr>
        <w:tc>
          <w:tcPr>
            <w:tcW w:w="1200" w:type="pct"/>
            <w:shd w:val="clear" w:color="auto" w:fill="E7F0F9"/>
          </w:tcPr>
          <w:p>
            <w:pPr>
              <w:spacing w:before="0" w:after="0" w:line="240" w:lineRule="auto"/>
              <w:jc w:val="left"/>
            </w:pPr>
            <w:r>
              <w:rPr>
                <w:b/>
              </w:rPr>
              <w:t xml:space="preserve">Naziv obveznika</w:t>
            </w:r>
          </w:p>
        </w:tc>
        <w:tc>
          <w:tcPr>
            <w:shd w:val="clear" w:color="auto" w:fill="E7F0F9"/>
          </w:tcPr>
          <w:p>
            <w:pPr>
              <w:spacing w:before="0" w:after="0" w:line="240" w:lineRule="auto"/>
              <w:jc w:val="left"/>
            </w:pPr>
            <w:r>
              <w:t xml:space="preserve">DJEČJI VRTIĆ POTOČNICA</w:t>
            </w:r>
          </w:p>
        </w:tc>
      </w:tr>
      <w:tr>
        <w:tc>
          <w:tcPr>
            <w:tcW w:w="1200" w:type="pct"/>
            <w:shd w:val="clear" w:color="auto" w:fill="E7F0F9"/>
          </w:tcPr>
          <w:p>
            <w:pPr>
              <w:spacing w:before="0" w:after="0" w:line="240" w:lineRule="auto"/>
              <w:jc w:val="left"/>
            </w:pPr>
            <w:r>
              <w:rPr>
                <w:b/>
              </w:rPr>
              <w:t xml:space="preserve">Razina</w:t>
            </w:r>
          </w:p>
        </w:tc>
        <w:tc>
          <w:tcPr>
            <w:shd w:val="clear" w:color="auto" w:fill="E7F0F9"/>
          </w:tcPr>
          <w:p>
            <w:pPr>
              <w:spacing w:before="0" w:after="0" w:line="240" w:lineRule="auto"/>
              <w:jc w:val="left"/>
            </w:pPr>
            <w:r>
              <w:t xml:space="preserve">21</w:t>
            </w:r>
          </w:p>
        </w:tc>
      </w:tr>
    </w:tbl>
    <w:p>
      <w:r>
        <w:br/>
      </w:r>
    </w:p>
    <w:p>
      <w:pPr>
        <w:jc w:val="center"/>
        <w:pStyle w:val="Normal"/>
        <w:spacing w:line="240" w:lineRule="auto"/>
      </w:pPr>
      <w:r>
        <w:rPr>
          <w:b/>
          <w:sz w:val="28"/>
          <w:rFonts w:ascii="Times New Roman" w:hAnsi="Times New Roman"/>
        </w:rPr>
        <w:t xml:space="preserve">BILJEŠKE UZ FINANCIJSKE IZVJEŠTAJE</w:t>
      </w:r>
    </w:p>
    <w:p>
      <w:pPr>
        <w:jc w:val="center"/>
        <w:pStyle w:val="Normal"/>
        <w:spacing w:line="240" w:lineRule="auto"/>
      </w:pPr>
      <w:r>
        <w:rPr>
          <w:b/>
          <w:sz w:val="28"/>
          <w:rFonts w:ascii="Times New Roman" w:hAnsi="Times New Roman"/>
        </w:rPr>
        <w:t xml:space="preserve">ZA RAZDOBLJE</w:t>
      </w:r>
    </w:p>
    <w:p>
      <w:pPr>
        <w:jc w:val="center"/>
        <w:pStyle w:val="Normal"/>
        <w:spacing w:line="240" w:lineRule="auto"/>
      </w:pPr>
      <w:r>
        <w:rPr>
          <w:b/>
          <w:sz w:val="28"/>
          <w:rFonts w:ascii="Times New Roman" w:hAnsi="Times New Roman"/>
        </w:rPr>
        <w:t xml:space="preserve">I - XII 2025.</w:t>
      </w:r>
    </w:p>
    <w:p/>
    <w:p>
      <w:pPr>
        <w:jc w:val="center"/>
        <w:pStyle w:val="Normal"/>
        <w:spacing w:line="240" w:lineRule="auto"/>
        <w:keepNext/>
      </w:pPr>
      <w:r>
        <w:rPr>
          <w:b/>
          <w:sz w:val="28"/>
          <w:rFonts w:ascii="Times New Roman" w:hAnsi="Times New Roman"/>
        </w:rPr>
        <w:t xml:space="preserve">Izvještaj o prihodima i rashodima, primicima i izdacima</w:t>
      </w:r>
    </w:p>
    <w:p>
      <w:pPr>
        <w:jc w:val="center"/>
        <w:pStyle w:val="Normal"/>
        <w:spacing w:line="240" w:lineRule="auto"/>
        <w:keepNext/>
      </w:pPr>
      <w:r>
        <w:rPr>
          <w:sz w:val="28"/>
          <w:rFonts w:ascii="Times New Roman" w:hAnsi="Times New Roman"/>
        </w:rPr>
        <w:t xml:space="preserve">Bilješka 1.</w:t>
      </w:r>
    </w:p>
    <w:tbl>
      <w:tblPr>
        <w:tblBorders>
          <w:top w:val="single" w:color="BABABA" w:sz="12"/>
          <w:bottom w:val="single" w:color="BABABA" w:sz="12"/>
          <w:left w:val="single" w:color="BABABA" w:sz="12"/>
          <w:right w:val="single" w:color="BABABA" w:sz="12"/>
          <w:insideH w:val="single" w:color="BABABA" w:sz="8"/>
          <w:insideV w:val="single" w:color="DADADA" w:sz="8"/>
        </w:tblBorders>
        <w:tblW w:w="0" w:type="auto"/>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POSLOVANJA (šifre 61+62+63+64+65+66+67+68)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1.034.501,57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1.393.751,84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134,7</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POSLOVANJA (šifre 31+32+34+35+36+37+38)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978.083,88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1.393.066,12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142,4</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 PRIHODA POSLOVANJA (šifre 6-Z005)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56.417,69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685,72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1,2</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nefinancijske imovine (šifre 71+72+73+74)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nefinancijske imovine (šifre 41+42+43+44+45)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41.127,59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13.427,67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32,6</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PRIHODA OD NEFINANCIJSKE IMOVINE (šifre 4-7)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41.127,59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13.427,67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32,6</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Primici od financijske imovine i zaduživanja (šifre 81+82+83+84+85)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Izdaci za financijsku imovinu i otplate zajmova (šifre 51+52+53+54+55)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VIŠAK/MANJAK PRIMITAKA OD FINANCIJSKE IMOVINE I ZADUŽIVANJA (šifre 8-5, 5-8)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X003, Y003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PRIHODA I PRIMITAKA (šifre Y345-X678)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12.741,95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w:t>
            </w:r>
          </w:p>
        </w:tc>
      </w:tr>
    </w:tbl>
    <w:p>
      <w:pPr>
        <w:spacing w:before="0" w:after="0"/>
      </w:pPr>
    </w:p>
    <w:p>
      <w:r>
        <w:t xml:space="preserve">Prihodi i rashodi ostvareni su u okvirima planiranih sredstava.</w:t>
      </w:r>
    </w:p>
    <w:p>
      <w:r>
        <w:br/>
      </w:r>
    </w:p>
    <w:p>
      <w:pPr>
        <w:jc w:val="center"/>
        <w:pStyle w:val="Normal"/>
        <w:spacing w:line="240" w:lineRule="auto"/>
        <w:keepNext/>
      </w:pPr>
      <w:r>
        <w:rPr>
          <w:sz w:val="28"/>
          <w:rFonts w:ascii="Times New Roman" w:hAnsi="Times New Roman"/>
        </w:rPr>
        <w:t xml:space="preserve">Bilješka 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POSLOVANJA (šifre 61+62+63+64+65+66+67+68)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1.034.501,57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1.393.751,84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134,7</w:t>
            </w:r>
          </w:p>
        </w:tc>
      </w:tr>
    </w:tbl>
    <w:p>
      <w:pPr>
        <w:spacing w:before="0" w:after="0"/>
      </w:pPr>
    </w:p>
    <w:p>
      <w:r>
        <w:t xml:space="preserve">U razdoblju od 1. siječnja do 31. prosinca 2025. prihodi poslovanja ostvareni su u iznosu od 1.393.751,84 EUR. Najznačajnije povećanje prihoda poslovanja ostvareno je od pomoći iz nadležnog proračuna za financiranje redovne djelatnosti radi povećanja rashoda poslovanja vrtića. Krajem 2024. godine počelo se s radom u dječjem vrtiću Stari Gradac u tri odgojne skupine djece te je povećan broj zaposlenih djelatnika. </w:t>
      </w:r>
    </w:p>
    <w:p>
      <w:r>
        <w:t xml:space="preserve">Povećani su prihodi od sufinanciranja uplata roditelja za vrtić radi povećanja broja upisane djece u dječji vrtić. </w:t>
      </w:r>
    </w:p>
    <w:p>
      <w:r>
        <w:t xml:space="preserve">Najznačajnije smanjenje prihoda poslovanja bilježi se na stavci prihoda iz nadležnog proračuna za financiranje rashoda za nabavu nefinancijske imovine jer je završeno opremanje vrtića u Starom Gracu. </w:t>
      </w:r>
    </w:p>
    <w:p>
      <w:r>
        <w:t xml:space="preserve">Od tekućih pomoći proračunskih korisnika iz proračuna koji im nije nadležan nije bilo ostvarenja radi završenog projekta „Igraonica sreće”. </w:t>
      </w:r>
    </w:p>
    <w:p/>
    <w:p>
      <w:pPr>
        <w:jc w:val="center"/>
        <w:pStyle w:val="Normal"/>
        <w:spacing w:line="240" w:lineRule="auto"/>
        <w:keepNext/>
      </w:pPr>
      <w:r>
        <w:rPr>
          <w:sz w:val="28"/>
          <w:rFonts w:ascii="Times New Roman" w:hAnsi="Times New Roman"/>
        </w:rPr>
        <w:t xml:space="preserve">Bilješka 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POSLOVANJA (šifre 31+32+34+35+36+37+38)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978.083,88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1.393.066,12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142,4</w:t>
            </w:r>
          </w:p>
        </w:tc>
      </w:tr>
    </w:tbl>
    <w:p>
      <w:pPr>
        <w:spacing w:before="0" w:after="0"/>
      </w:pPr>
    </w:p>
    <w:p>
      <w:r>
        <w:t xml:space="preserve">Rashodi poslovanja u razdoblju od 1. siječnja do 31. prosinca 2025. ostvareni su u iznosu od 1.393.066,12 EUR. Najznačajnije povećanje rashoda poslovanja evidentirano je na rashodima za zaposlene zbog povećanja broja zaposlenih, te povećanja plaća zaposlenih te upisane djece obzirom je otvoren novi Područni odjel. Najznačajnije smanjenje rashoda poslovanja bilježi se na stavci pristojbi i naknada jer nije bilo obveze plaćanja naknade u slučaju nezapošljavanja osoba s invaliditetom.</w:t>
      </w:r>
    </w:p>
    <w:p/>
    <w:p>
      <w:pPr>
        <w:jc w:val="center"/>
        <w:pStyle w:val="Normal"/>
        <w:spacing w:line="240" w:lineRule="auto"/>
        <w:keepNext/>
      </w:pPr>
      <w:r>
        <w:rPr>
          <w:sz w:val="28"/>
          <w:rFonts w:ascii="Times New Roman" w:hAnsi="Times New Roman"/>
        </w:rPr>
        <w:t xml:space="preserve">Bilješka 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nefinancijske imovine (šifre 41+42+43+44+45)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41.127,59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13.427,67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32,6</w:t>
            </w:r>
          </w:p>
        </w:tc>
      </w:tr>
    </w:tbl>
    <w:p>
      <w:pPr>
        <w:spacing w:before="0" w:after="0"/>
      </w:pPr>
    </w:p>
    <w:p>
      <w:r>
        <w:t xml:space="preserve">U navedenom razdoblju nije bilo većih ulaganja na uređenju Dječjeg vrtića. Utrošena sredstva u iznosu 13.427,67 EUR odnose se na nabavu uredske opreme i namještaja i dodatnih ulaganja na građevinskim objektima. Najznačajnije smanjenje rashoda za nabavu nefinancijske imovine bilježi se na stavci rashoda za dodatna ulaganja na nefinancijskoj imovini koja sredstva su utrošena za održavanje postojećeg prostora. </w:t>
      </w:r>
    </w:p>
    <w:p/>
    <w:p>
      <w:pPr>
        <w:jc w:val="center"/>
        <w:pStyle w:val="Normal"/>
        <w:spacing w:line="240" w:lineRule="auto"/>
        <w:keepNext/>
      </w:pPr>
      <w:r>
        <w:rPr>
          <w:b/>
          <w:sz w:val="28"/>
          <w:rFonts w:ascii="Times New Roman" w:hAnsi="Times New Roman"/>
        </w:rPr>
        <w:t xml:space="preserve">Bilanca</w:t>
      </w:r>
    </w:p>
    <w:p>
      <w:pPr>
        <w:jc w:val="center"/>
        <w:pStyle w:val="Normal"/>
        <w:spacing w:line="240" w:lineRule="auto"/>
        <w:keepNext/>
      </w:pPr>
      <w:r>
        <w:rPr>
          <w:sz w:val="28"/>
          <w:rFonts w:ascii="Times New Roman" w:hAnsi="Times New Roman"/>
        </w:rPr>
        <w:t xml:space="preserve">Bilješka 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IMOVINA (šifre B002+1)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B001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213.725,19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194.370,31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90,9</w:t>
            </w:r>
          </w:p>
        </w:tc>
      </w:tr>
    </w:tbl>
    <w:p>
      <w:pPr>
        <w:spacing w:before="0" w:after="0"/>
      </w:pPr>
    </w:p>
    <w:p>
      <w:r>
        <w:t xml:space="preserve">Imovina se sastoji od nefinancijske imovine, opreme i uređaja, u iznosu 189.172,14 eura, te financijske imovine 5.198,17 eura na kontu potraživanja proračunskih korisnika za sredstva uplaćena u nadležni proračun i potraživanja za uplate roditelja za vrtić.</w:t>
      </w:r>
    </w:p>
    <w:p/>
    <w:p>
      <w:pPr>
        <w:jc w:val="center"/>
        <w:pStyle w:val="Normal"/>
        <w:spacing w:line="240" w:lineRule="auto"/>
        <w:keepNext/>
      </w:pPr>
      <w:r>
        <w:rPr>
          <w:sz w:val="28"/>
          <w:rFonts w:ascii="Times New Roman" w:hAnsi="Times New Roman"/>
        </w:rPr>
        <w:t xml:space="preserve">Bilješka 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OBVEZE I VLASTITI IZVORI (šifre 2+9)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B003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213.725,19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194.370,31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90,9</w:t>
            </w:r>
          </w:p>
        </w:tc>
      </w:tr>
    </w:tbl>
    <w:p>
      <w:pPr>
        <w:spacing w:before="0" w:after="0"/>
      </w:pPr>
    </w:p>
    <w:p>
      <w:r>
        <w:t xml:space="preserve">Obveze i vlastiti izvori u iznosu 194.370,31 sastoje se od vlastitih izvora, obveza nema. </w:t>
      </w:r>
    </w:p>
    <w:p/>
    <w:p>
      <w:pPr>
        <w:jc w:val="center"/>
        <w:pStyle w:val="Normal"/>
        <w:spacing w:line="240" w:lineRule="auto"/>
        <w:keepNext/>
      </w:pPr>
      <w:r>
        <w:rPr>
          <w:b/>
          <w:sz w:val="28"/>
          <w:rFonts w:ascii="Times New Roman" w:hAnsi="Times New Roman"/>
        </w:rPr>
        <w:t xml:space="preserve">Izvještaj o rashodima prema funkcijskoj klasifikaciji</w:t>
      </w:r>
    </w:p>
    <w:p>
      <w:pPr>
        <w:jc w:val="center"/>
        <w:pStyle w:val="Normal"/>
        <w:spacing w:line="240" w:lineRule="auto"/>
        <w:keepNext/>
      </w:pPr>
      <w:r>
        <w:rPr>
          <w:sz w:val="28"/>
          <w:rFonts w:ascii="Times New Roman" w:hAnsi="Times New Roman"/>
        </w:rPr>
        <w:t xml:space="preserve">Bilješka 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091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Predškolsko i osnovno obrazovanje (šifre 0911+0912)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091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1.019.211,47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1.406.493,79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138,0</w:t>
            </w:r>
          </w:p>
        </w:tc>
      </w:tr>
    </w:tbl>
    <w:p>
      <w:pPr>
        <w:spacing w:before="0" w:after="0"/>
      </w:pPr>
    </w:p>
    <w:p>
      <w:r>
        <w:t xml:space="preserve">Rashodi u iznosu 1.406.493,79 eura evidentirani su u skupini 086 rashodi za predškolsko obrazovanje koji nisu drugdje svrstani.</w:t>
      </w:r>
    </w:p>
    <w:p/>
    <w:p>
      <w:pPr>
        <w:jc w:val="center"/>
        <w:pStyle w:val="Normal"/>
        <w:spacing w:line="240" w:lineRule="auto"/>
        <w:keepNext/>
      </w:pPr>
      <w:r>
        <w:rPr>
          <w:b/>
          <w:sz w:val="28"/>
          <w:rFonts w:ascii="Times New Roman" w:hAnsi="Times New Roman"/>
        </w:rPr>
        <w:t xml:space="preserve">Promjene u vrijednosti i obujmu imovine i obveza</w:t>
      </w:r>
    </w:p>
    <w:p>
      <w:pPr>
        <w:jc w:val="center"/>
        <w:pStyle w:val="Normal"/>
        <w:spacing w:line="240" w:lineRule="auto"/>
        <w:keepNext/>
      </w:pPr>
      <w:r>
        <w:rPr>
          <w:sz w:val="28"/>
          <w:rFonts w:ascii="Times New Roman" w:hAnsi="Times New Roman"/>
        </w:rPr>
        <w:t xml:space="preserve">Bilješka 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 povećanja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 smanjenja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9151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Promjene u vrijednosti i obujmu imovine (šifre 91511+91512)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9151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Nije bilo promjena u vrijednosti i obujmu imovine i obveza.</w:t>
      </w:r>
    </w:p>
    <w:p/>
    <w:p>
      <w:pPr>
        <w:jc w:val="center"/>
        <w:pStyle w:val="Normal"/>
        <w:spacing w:line="240" w:lineRule="auto"/>
        <w:keepNext/>
      </w:pPr>
      <w:r>
        <w:rPr>
          <w:b/>
          <w:sz w:val="28"/>
          <w:rFonts w:ascii="Times New Roman" w:hAnsi="Times New Roman"/>
        </w:rPr>
        <w:t xml:space="preserve">Izvještaj o obvezama</w:t>
      </w:r>
    </w:p>
    <w:p>
      <w:pPr>
        <w:jc w:val="center"/>
        <w:pStyle w:val="Normal"/>
        <w:spacing w:line="240" w:lineRule="auto"/>
        <w:keepNext/>
      </w:pPr>
      <w:r>
        <w:rPr>
          <w:sz w:val="28"/>
          <w:rFonts w:ascii="Times New Roman" w:hAnsi="Times New Roman"/>
        </w:rPr>
        <w:t xml:space="preserve">Bilješka 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Stanje dospjelih obveza na kraju izvještajnog razdoblja (šifre V008+D23+D24 + 'D dio 25,26' + D27)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V007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Sve naknjižene obveze u iznosu 1.407.951,19 eura su i podmirene.</w:t>
      </w:r>
    </w:p>
    <w:p/>
  </w:body>
</w:document>
</file>

<file path=word/styles.xml><?xml version="1.0" encoding="utf-8"?>
<w:styles xmlns:w="http://schemas.openxmlformats.org/wordprocessingml/2006/main">
  <w:docDefaults>
    <w:rPrDefault>
      <w:rPr>
        <w:rFonts w:ascii="Times New Roman" w:hAnsi="Times New Roman"/>
        <w:sz w:val="24"/>
      </w:rPr>
    </w:rPrDefault>
  </w:docDefaults>
  <w:style w:type="paragraph" w:styleId="Normal" w:default="true">
    <w:name w:val="Normal"/>
    <w:rPr>
      <w:rFonts w:ascii="Times New Roman" w:hAnsi="Times New Roman"/>
      <w:sz w:val="24"/>
    </w:rPr>
  </w:style>
</w:styles>
</file>

<file path=word/_rels/document.xml.rels>&#65279;<?xml version="1.0" encoding="utf-8"?><Relationships xmlns="http://schemas.openxmlformats.org/package/2006/relationships"><Relationship Type="http://schemas.openxmlformats.org/officeDocument/2006/relationships/styles" Target="/word/styles.xml" Id="R44749cdf20754f79" /></Relationships>
</file>