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7bae714580ce408d"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32883</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OPĆINA PITOMAČA</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23</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6.907.869,81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8.545.966,28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4.622.363,99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6.399.314,32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138,4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2.285.505,82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2.146.651,96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93,9</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16.119,64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37.981,00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235,6</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2.024.598,00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3.335.837,32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164,8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2.008.478,36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3.297.856,32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164,2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1.151.204,36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            Financiranje javnih rashoda izvršeno je na osnovi donesenih financijsko-planskih dokumenata; Proračuna općine Pitomača za 2025. godinu, I. Izmjena i dopuna Proračuna općine Pitomača za 2025. godinu, II. Izmjena i dopuna Proračuna općine Pitomača za 2025. godinu i Odluke o izvršavanju Proračuna Općine Pitomača.</w:t>
      </w:r>
    </w:p>
    <w:p>
      <w:r>
        <w:t xml:space="preserve">            Općina Pitomača ima tri proračunska korisnika: Dječji vrtić Potočnica, Knjižnica i čitaonica Pitomača i Centar za kulturu Drago Britvić Pitomača.</w:t>
      </w:r>
    </w:p>
    <w:p>
      <w:r>
        <w:t xml:space="preserve">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poreza (šifre 611+612+613+614+615+616)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2.356.315,67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2.665.077,58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113,1</w:t>
            </w:r>
          </w:p>
        </w:tc>
      </w:tr>
    </w:tbl>
    <w:p>
      <w:pPr>
        <w:spacing w:before="0" w:after="0"/>
      </w:pPr>
    </w:p>
    <w:p>
      <w:r>
        <w:t xml:space="preserve">Prihodi od poreza ostvareni su 2.665.077,58 eura i veći su u odnosu na razdoblje prethodne godine. Ukinuti su općinski porez na tvrtku i općinski porez na potrošnju, a veće ostvarenje je kod poreza na dohodak od nesamostalnog rada, poreza na imovinu i poreza na promet nekretnina te novouvedenog poreza na nekretnine.</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iz inozemstva i od subjekata unutar općeg proračuna (šifre 631+632+633+634+635+636+637+638+639)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3.347.479,96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5.002.831,92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149,5</w:t>
            </w:r>
          </w:p>
        </w:tc>
      </w:tr>
    </w:tbl>
    <w:p>
      <w:pPr>
        <w:spacing w:before="0" w:after="0"/>
      </w:pPr>
    </w:p>
    <w:p>
      <w:r>
        <w:t xml:space="preserve">Pomoći od subjekata unutar općeg proračuna ostvarene su 5.002.831,92 eura s većim ostvarenjem kapitalnih pomoći iz drugih proračuna za nove projekte izgradnje komunalne infrastrukture, ostatak sredstava za završeni projekt izgradnje dječjeg vrtića u Starom Gracu, sredstva za rekonstrukciju nerazvrstanih cesta, uređenja dječjeg igrališta, pješačke staze, industrijsku zonu Rakitka I, novi projekt Zavičajni muzej – bivši Farof Pitomača. Od tekućih pomoći doznačena su sredstva za fiskalno izravnanje, fiskalnu održivost vrtića, plaće skelara, sredstva za štete elementarnih nepogoda, sredstva od Ministarstva rada, mirovinskog sustava, obitelji i socijalne politike za projekt „Pomoć pri ruci“ te sredstva Hrvatskog zavoda za zapošljavanje za javne radove. Kod proračunskog korisnika Knjižnice i čitaonice veće je ostvarenje prihoda od tekućih pomoći  radi sufinanciranja raznih programa knjižnične djelatnosti, a manje ostvarenje prihoda kapitalnih pomoći radi završenih građevinskih radova u prethodnoj godini.</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imovine (šifre 641+642+643)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386.370,70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343.211,55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88,8</w:t>
            </w:r>
          </w:p>
        </w:tc>
      </w:tr>
    </w:tbl>
    <w:p>
      <w:pPr>
        <w:spacing w:before="0" w:after="0"/>
      </w:pPr>
    </w:p>
    <w:p>
      <w:r>
        <w:t xml:space="preserve">Prihodi od imovine ostvareni su u iznosu 343.211,55 eura. Ostvarenje ovih prihoda manje je u odnosu na prethodno razdoblje najviše od prihoda od naknade za korištenje nefinancijske imovine (eksploatacija mineralnih sirovina).  </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upravnih i administrativnih pristojbi, pristojbi po posebnim propisima i naknada (šifre 651+652+653+654)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485.890,18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534.845,23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110,1</w:t>
            </w:r>
          </w:p>
        </w:tc>
      </w:tr>
    </w:tbl>
    <w:p>
      <w:pPr>
        <w:spacing w:before="0" w:after="0"/>
      </w:pPr>
    </w:p>
    <w:p>
      <w:r>
        <w:t xml:space="preserve">Prihod od administrativnih pristojbi i po posebnim propisima ostvaren je 534.845,23 eura, više u odnosu na prethodnu godinu i to kod općinskih ostalih nespomenutih prihoda radi uplate sredstva za održavanje izbora i šumskog doprinosa. Kod Dječjeg vrtića Potočnica veće je ostvarenje uplata roditelja za vrtić jer se počelo s radom u Područnom odjelu Stari Gradac u tri odgojne skupine, a kod Centra za kulturu Drago Britvić veće je ostvarenje prihoda od prodaje ulaznica radi većeg broja održavanja kulturnih manifestacija i kino predstavi.</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 te pruženih usluga, prihodi od donacija te povrati po protestiranim jamstvima (šifre 661+663)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331.813,30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Ove godine nije bilo ostvarenja ovih prihoda jer od strane Virkoma nije bilo uplaćenih sredstava za projekt aglomeracije.</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Kazne, upravne mjere i ostali prihodi (šifre 681+683)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U ovom razdoblju nema planiranih i ostvarenih sredstava od ovog prihoda.</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zaposlene (šifre 311+312+313)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1.679.096,74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2.447.198,07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145,7</w:t>
            </w:r>
          </w:p>
        </w:tc>
      </w:tr>
    </w:tbl>
    <w:p>
      <w:pPr>
        <w:spacing w:before="0" w:after="0"/>
      </w:pPr>
    </w:p>
    <w:p>
      <w:r>
        <w:t xml:space="preserve">Rashodi za zaposlene izvršeni u iznosu 2.447.198,07 eura. Osim stalno zaposlenih u jedinici lokalne samouprave kojim je povećana plaća u odnosu na prethodnu godinu, isplaćena je plaća po projektu „Pomoć pri ruci“, nastavak financiranja aktivnosti zapošljavanja teže zapošljivih žena na poslovima pružanja potpore i podrške za starije i nemoćne osobe te zaposlenima u javnim radovima. Kod proračunskog korisnika Dječji vrtić Potočnica veće je izvršenje radi povećanja broja zaposlenih i usklađenja plaća djelatnika u vrtiću.</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Materijalni rashodi (šifre 321+322+323+324+325+329)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1.659.647,84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2.071.608,15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124,8</w:t>
            </w:r>
          </w:p>
        </w:tc>
      </w:tr>
    </w:tbl>
    <w:p>
      <w:pPr>
        <w:spacing w:before="0" w:after="0"/>
      </w:pPr>
    </w:p>
    <w:p>
      <w:r>
        <w:t xml:space="preserve">Materijalni rashodi izvršeni su u iznosu 2.071.608,15 eura. Osim redovitih sredstva utrošenih za naknade troškova stalno zaposlenih, utrošeno je za isplate zaposlenih u projektu „Pomoć pri ruci“, kao i za materijal za higijenske potrebe i njegu, veća je isplata za naknade članovima povjerenstva zbog održavanje izbora, zatim kod mjesnih odbora više je utrošeno u tekuća i investicijska održavanja opreme i objekata,  održavanje nerazvrstanih cesta i javnih zelenih površina. U ovom razdoblju isplaćeno je za uslugu preventivnog sistematskog pregleda zaposlenika i veća je naknada porezne uprave za naplatu prihoda., više utrošeno sredstva za usluge građevinskog vještačenja radi sređivanja imovinsko pravnih odnosa te je veća uplata premije osiguranja imovine. Veće je izvršenje rashoda i kod Dječjeg vrtića Potočnica, a sve radi već spomenutog proširenja djelatnosti.</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Financijski rashodi (šifre 341+342+343)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7.464,74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9.105,36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122,0</w:t>
            </w:r>
          </w:p>
        </w:tc>
      </w:tr>
    </w:tbl>
    <w:p>
      <w:pPr>
        <w:spacing w:before="0" w:after="0"/>
      </w:pPr>
    </w:p>
    <w:p>
      <w:r>
        <w:t xml:space="preserve">Financijski rashodi izvršeni su u iznosu 9.105,36 eura. Sredstva su utrošena za bankarske usluge i usluge platnog prometa.</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Subvencije (šifre 351+352+353)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72.971,75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58.269,35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79,9</w:t>
            </w:r>
          </w:p>
        </w:tc>
      </w:tr>
    </w:tbl>
    <w:p>
      <w:pPr>
        <w:spacing w:before="0" w:after="0"/>
      </w:pPr>
    </w:p>
    <w:p>
      <w:r>
        <w:t xml:space="preserve">Ukupno je utrošeno 58.269,35 eura za subvencije poljoprivrednicima za poticanje poljoprivredne proizvodnje, za u.o. goveda i rasplodnih krmača, manje u odnosu na prethodnu godinu kao i kod subvencija obrtnicima zbog manje zaprimljenih zahtjeva.</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dane u inozemstvo i unutar općeg proračuna (šifre 361+362+363+365+366+367+368+369)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95.232,13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362.147,92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380,3</w:t>
            </w:r>
          </w:p>
        </w:tc>
      </w:tr>
    </w:tbl>
    <w:p>
      <w:pPr>
        <w:spacing w:before="0" w:after="0"/>
      </w:pPr>
    </w:p>
    <w:p>
      <w:r>
        <w:t xml:space="preserve">Pomoći unutar općeg proračuna iznose 362.147,92 eura. Veća je isplata sredstva tekućih pomoći županijskom proračunu za linijski prijevoz putnika i refundacija plaća uposlenih u Centru za posjetitelje Križnica. Veće su isplate kapitalnih pomoći u Virkom za novi sustav vodoopskrbe i odvodnje, izgradnja kanalizacijske mreže Velika Črešnjevica i vodoopskrba Križnica.</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građanima i kućanstvima na temelju osiguranja i druge naknade (šifre 371+372)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277.295,07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268.770,22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96,9</w:t>
            </w:r>
          </w:p>
        </w:tc>
      </w:tr>
    </w:tbl>
    <w:p>
      <w:pPr>
        <w:spacing w:before="0" w:after="0"/>
      </w:pPr>
    </w:p>
    <w:p>
      <w:r>
        <w:t xml:space="preserve">Naknade građanima i kućanstvima – sredstva u iznosu 268.770,22 eura manje su isplaćena za subvenciju pregleda na trihinelozu, stipendije zbog manjeg broja stipendista, pomoći mladim obiteljima za kupovinu zemljišta te kupovinu ili izgradnju stambenog prostora, sufinanciranje prijevoza učenika s posebnim potrebama, pomoći za novorođeno dijete, isplate umirovljenicima te ostale naknade za socijalnu zaštitu. </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donacije, kazne, naknade šteta i kapitalne pomoći (šifre 381+382+383+386)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830.655,72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1.182.215,25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142,3</w:t>
            </w:r>
          </w:p>
        </w:tc>
      </w:tr>
    </w:tbl>
    <w:p>
      <w:pPr>
        <w:spacing w:before="0" w:after="0"/>
      </w:pPr>
    </w:p>
    <w:p>
      <w:r>
        <w:t xml:space="preserve">Rashodi su izvršeni u iznosu 1.182.215,25 eura, više u odnosu na prethodnu godinu. Osim redovitih sredstava udrugama u kulturi, vjerskim zajednicama i ostalim udrugama, te Športskoj zajednici,  veća su izdvajanja Vatrogasnoj zajednici, ustanovi „Centar za pružanje usluga u zajednici Spektar“, Crvenom križu Virovitica, Turističkoj zajednici Općine Pitomača te Virovitičko-podravskoj županiji.</w:t>
      </w:r>
    </w:p>
    <w:p>
      <w:r>
        <w:t xml:space="preserve">Od kapitalnih pomoći veći dio sredstva prenesen je u Komunalno Pitomača za nabavu kamiona smećara.</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16.119,64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37.981,00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235,6</w:t>
            </w:r>
          </w:p>
        </w:tc>
      </w:tr>
    </w:tbl>
    <w:p>
      <w:pPr>
        <w:spacing w:before="0" w:after="0"/>
      </w:pPr>
    </w:p>
    <w:p>
      <w:r>
        <w:t xml:space="preserve">Ostvaren je prihod 37.981,00 eura, više u odnosu na prethodnu godinu, od prodaje naslijeđenog zemljišta i stambenog objekta.</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2.024.598,00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3.335.837,32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164,8</w:t>
            </w:r>
          </w:p>
        </w:tc>
      </w:tr>
    </w:tbl>
    <w:p>
      <w:pPr>
        <w:spacing w:before="0" w:after="0"/>
      </w:pPr>
    </w:p>
    <w:p>
      <w:r>
        <w:t xml:space="preserve">Rashodi za nabavu nefinancijske imovine izvršeni su u iznosu 3.335.837,32 eura. Više je utrošeno sredstva u odnosu na prethodnu godinu za kupnju građevinskog zemljišta za buduću cestu i gradnju Vatrogasnog doma i Doma zdravlja, sredstva za gradnju biciklističke infrastrukture, projektnu dokumentaciju i ishođenje dozvola za Trafostanicu Pitomača, svlačionice i tribine u Grabrovnici, Zavičajni muzej – bivši Farof Pitomača, prilazne rampe za invalide, adaptaciju društvenih domova u Turnašici i Dinjevcu te opremanje domova s namještajem i aparatima. Sredstva su utrošena i za gradnju Područnog odjela Dječji vrtić Potočnica, rekonstrukciju nerazvrstane ceste Vladimira Nazora u Pitomači, proširenje gospodarske zone Rakitka I, izgradnju ograde dječjeg igrališta i pješačke staze u dijelu ulica Vinogradska i Petra Preradovića.</w:t>
      </w:r>
    </w:p>
    <w:p>
      <w:r>
        <w:t xml:space="preserve">Kod korisnika nije bilo većih ulaganja na objektima, osim fotonaponske elektrane kod Knjižnice i čitaonice, a ostali rashodi odnose na nabavu uredske opreme i namještaja.</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9221-9222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Višak prihoda i primitaka - preneseni (šifre '9221x,9222x VP' - '9221x,9222x MP' + 92213 - 92223)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9221-9222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843.137,99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1.120.165,45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132,9</w:t>
            </w:r>
          </w:p>
        </w:tc>
      </w:tr>
    </w:tbl>
    <w:p>
      <w:pPr>
        <w:spacing w:before="0" w:after="0"/>
      </w:pPr>
    </w:p>
    <w:p>
      <w:r>
        <w:t xml:space="preserve">Preneseni višak prihoda i primitaka iz prethodne godine u iznosu 1.120.165,45 eura sastoji se najvećim dijelom od općinskih sredstava, od izvora općih prihoda i primitaka (poreza na dohodak i sredstava fiskalnog izravnanja), te izvora pomoći koja sredstva su pristigla od Ministarstva regionalnog razvoja i fonda EU za projekt Industrijske zone Rakitka I, Ministarstva znanosti, obrazovanja i mladih te Ministarstva demografije i useljeništva za ulaganja u objekt Dječjeg vrtića, Ministarstva mora, prometa i infrastrukture za refundaciju plaća skelara, te Ministarstva rada, mirovinskog sustava, obitelji i socijalne politike za projekt „Pomoć pri ruci“. Višak prenesenih sredstava korisnika odnosi se na uplate roditelje za vrtić, članarina knjižnice i prihod Centra za kulturu od prodaje ulaznica.</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Manjak prihoda i primitaka za pokriće u sljedećem razdoblju (šifre Y005 + '9222-9221' - X005 - '9221-9222'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Y006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31.038,91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Ostvareni manjak sredstava u ovom tekućem razdoblju u iznosu 1.151.204,36 eura s prenesenim viškom iz prethodne godine u iznosu 1.120.165,45 eura čine ukupno manjak u iznosu 31.038,91 eura.</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Neproizvedena dugotrajna imovina (šifre 011+012-019)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766.829,36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552.261,74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72,0</w:t>
            </w:r>
          </w:p>
        </w:tc>
      </w:tr>
    </w:tbl>
    <w:p>
      <w:pPr>
        <w:spacing w:before="0" w:after="0"/>
      </w:pPr>
    </w:p>
    <w:p>
      <w:r>
        <w:t xml:space="preserve">Neproizvedena dugotrajna imovina iznosi 552.261,74 eura koju čine zemljište i licenca općinske imovine.</w:t>
      </w:r>
    </w:p>
    <w:p>
      <w:r>
        <w:t xml:space="preserve">Isknjiženo je zemljište darovano u Virovitičko-podravsku županiju za izgradnju osnovne škole i sportske dvorane i zemljište darovano za stambenu izgradnju za mlade obitelji.</w:t>
      </w:r>
    </w:p>
    <w:p>
      <w:r>
        <w:t xml:space="preserve">Uknjiženo je građevinsko zemljište kupljeno za izgradnju Doma zdravlja i Vatrogasni dom, te zemljišta za formiranje koridora cestovne infrastrukture obilaznica Pitomača sjever.</w:t>
      </w:r>
    </w:p>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Proizvedena dugotrajna imovina (šifre '021 i 02921' + '022 i 02922' + '023 i 02923' + '024 i 02924' + '025 i 02925' + '026 i 02926')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17.130.030,74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18.332.514,71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107,0</w:t>
            </w:r>
          </w:p>
        </w:tc>
      </w:tr>
    </w:tbl>
    <w:p>
      <w:pPr>
        <w:spacing w:before="0" w:after="0"/>
      </w:pPr>
    </w:p>
    <w:p>
      <w:r>
        <w:t xml:space="preserve">Proizvedena dugotrajna imovina iznosi 18.332.514,71 eura.</w:t>
      </w:r>
    </w:p>
    <w:p>
      <w:r>
        <w:t xml:space="preserve">Isknjižena je darovana nekretnina Vatrogasni dom Stari Gradac. Uknjižena je dobivena nekretnina osnovne škole u Kladarama.</w:t>
      </w:r>
    </w:p>
    <w:p>
      <w:r>
        <w:t xml:space="preserve">Povećana je vrijednost ostalim poslovnim građevinskim objektima; adaptacija objekta Društvenog doma Turnašica i Dinjevac, Vatrogasnog doma Turnašica i Društveno-vatrogasnog doma Sedlarica, rekonstrukcija nerazvrstane ceste Vladimira nazora, biciklistička infrastruktura naselja Pitomača, biciklističke staze Dravska ulica, pješačke staze Vinogradska i Petra Preradovića. </w:t>
      </w:r>
    </w:p>
    <w:p>
      <w:r>
        <w:t xml:space="preserve">Kod ostalih nespomenutih građevinskih objekata povećanje imovine za rekonstrukciju krovišta mrtvačnice Pitomača, autobusna stajališta u mjestu Velika Črešnjevica i Grabrovnica, opremanje i uređenje dječjih igrališta. </w:t>
      </w:r>
    </w:p>
    <w:p>
      <w:r>
        <w:t xml:space="preserve">Povećana je vrijednost za nabavu klima uređaja i kuhinjskog namještaja po mjesnim odborima. </w:t>
      </w:r>
    </w:p>
    <w:p>
      <w:r>
        <w:t xml:space="preserve">Uloženo je u računalne programe u proračunskom računovodstvu te izrađena je baza podataka poljoprivrednog zemljišta. Povećana je imovina za izradu projektnih dokumentacija kao što je izgradnja građevine Dom za starije i nemoćne, izrada strategije zelene urbane obnove općine Pitomača – Trg kralja Tomislava, projektna dokumentacija Centar za unapređenje poljoprivredne proizvodnje ljekovitog bilja, izrada izmjene i dopune urbanističkog plana gosp. zone Rakitka te ostala projektna dokumentacija.</w:t>
      </w:r>
    </w:p>
    <w:p>
      <w:r>
        <w:t xml:space="preserve">Kod proračunskih korisnika povećana je vrijednost kod uredske opreme i uređaja.</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Dugotrajna nefinancijska imovina u pripremi (šifre 051 do 056)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302.400,82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1.283.195,63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424,3</w:t>
            </w:r>
          </w:p>
        </w:tc>
      </w:tr>
    </w:tbl>
    <w:p>
      <w:pPr>
        <w:spacing w:before="0" w:after="0"/>
      </w:pPr>
    </w:p>
    <w:p>
      <w:r>
        <w:t xml:space="preserve">Dugotrajna nefinancijska imovina u pripremi iznosi 1.283.195,63 eura, a odnosi se na izgradnju novog Dječjeg vrtića Potočnica-Jaslička grupa, uređenje Trga kralja Tomislava, Zavičajni muzej Pitomača te Sportsko-rekreacijski centar Pitomača, Društveno-vatrogasni dom Pitomača i proširenje gospodarske zone Rakitka I.</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Novac u banci i blagajni (šifre 111+112 do 114)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1.197.178,35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126.260,41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10,5</w:t>
            </w:r>
          </w:p>
        </w:tc>
      </w:tr>
    </w:tbl>
    <w:p>
      <w:pPr>
        <w:spacing w:before="0" w:after="0"/>
      </w:pPr>
    </w:p>
    <w:p>
      <w:r>
        <w:t xml:space="preserve">Novčana sredstva kod poslovne banke iznose 122.937,86 eura i blagajne u iznosu 3.322,55 eura. Radi odluke o uvođenju riznice, krajem godine zatvoreni su računi proračunskih korisnika i sredstva su prenesena na račun Proračuna općine.</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za jamčevne pologe, od zaposlenih te za više plaćene poreze i ostalo (šifre 122 do 124 - 125 + 129)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5.924,78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3.021,27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51,0</w:t>
            </w:r>
          </w:p>
        </w:tc>
      </w:tr>
    </w:tbl>
    <w:p>
      <w:pPr>
        <w:spacing w:before="0" w:after="0"/>
      </w:pPr>
    </w:p>
    <w:p>
      <w:r>
        <w:t xml:space="preserve">Depoziti, jamčevni polozi i potraživanja u iznosu 3.021,27 čine sredstva za potraživanje naknada koje se refundiraju, potraživanje za vraćanje danih stipendija i novčane kazne.</w:t>
      </w:r>
    </w:p>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Financijski instrumenti - dionice i udjeli u glavnici (šifre 15X1+15X2-159)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419.895,15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912.019,53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217,2</w:t>
            </w:r>
          </w:p>
        </w:tc>
      </w:tr>
    </w:tbl>
    <w:p>
      <w:pPr>
        <w:spacing w:before="0" w:after="0"/>
      </w:pPr>
    </w:p>
    <w:p>
      <w:r>
        <w:t xml:space="preserve">Dionice i udjeli u glavnici iznose 912.019,53 eura. Iskazan je dio u temeljnom kapitalu trgovačkog društva Komunalno Pitomača d.o.o. u iznosu 34.335,39 eura, Plinkom d.o.o. Pitomača u iznosu 119.450,53 eura, Virkom d.o.o. u iznosu 757.570,00 eura i udio Draft d.o.o. 663,61 eura.</w:t>
      </w:r>
    </w:p>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za prihode poslovanja (šifre 161 do 163 + 164 do 168-169)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548.011,79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531.679,40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97,0</w:t>
            </w:r>
          </w:p>
        </w:tc>
      </w:tr>
    </w:tbl>
    <w:p>
      <w:pPr>
        <w:spacing w:before="0" w:after="0"/>
      </w:pPr>
    </w:p>
    <w:p>
      <w:r>
        <w:t xml:space="preserve">Potraživanja za prihode poslovanja iznosi 531.679,40 eura. Najveće potraživanje odnosi se na komunalnu naknadu i naknadu za uređenje voda. Ostala potraživanja odnose se na potraživanja od poreza, zakupa zemljišta, komunalni doprinos te potraživanje za ostale prihode od financijske imovine (kazna Građevinarstvo Stipić).</w:t>
      </w:r>
    </w:p>
    <w:p/>
    <w:p>
      <w:pPr>
        <w:jc w:val="center"/>
        <w:pStyle w:val="Normal"/>
        <w:spacing w:line="240" w:lineRule="auto"/>
        <w:keepNext/>
      </w:pPr>
      <w:r>
        <w:rPr>
          <w:sz w:val="28"/>
          <w:rFonts w:ascii="Times New Roman" w:hAnsi="Times New Roman"/>
        </w:rPr>
        <w:t xml:space="preserve">Bilješka 26.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I VLASTITI IZVORI (šifre 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20.370.270,99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21.740.952,69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106,7</w:t>
            </w:r>
          </w:p>
        </w:tc>
      </w:tr>
    </w:tbl>
    <w:p>
      <w:pPr>
        <w:spacing w:before="0" w:after="0"/>
      </w:pPr>
    </w:p>
    <w:p>
      <w:r>
        <w:t xml:space="preserve">Obveze i vlastiti izvori u iznosu 21.740.952,69 eura čine sredstva obveza u iznosu 160.978,82 eura, općinskih obveza i vlastiti izvori 21.579.973,87 eura općine i korisnika.</w:t>
      </w:r>
    </w:p>
    <w:p/>
    <w:p>
      <w:pPr>
        <w:jc w:val="center"/>
        <w:pStyle w:val="Normal"/>
        <w:spacing w:line="240" w:lineRule="auto"/>
        <w:keepNext/>
      </w:pPr>
      <w:r>
        <w:rPr>
          <w:sz w:val="28"/>
          <w:rFonts w:ascii="Times New Roman" w:hAnsi="Times New Roman"/>
        </w:rPr>
        <w:t xml:space="preserve">Bilješka 27.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Izvanbilančni zapisi - aktiva (šifra 996)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641.287,80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273.808,69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42,7</w:t>
            </w:r>
          </w:p>
        </w:tc>
      </w:tr>
    </w:tbl>
    <w:p>
      <w:pPr>
        <w:spacing w:before="0" w:after="0"/>
      </w:pPr>
    </w:p>
    <w:p>
      <w:r>
        <w:t xml:space="preserve">U izvanbilančnim zapisima u iznosu 273.808,69 eura evidentirani su dani instrumenti plaćanja, zadužnice radi financiranja i sufinanciranja projekata Ministarstvu regionalnog razvoja i fondova EU, Ministarstvu demografije i useljeništva, te Erste &amp; Steiermarkische bank d.d. radi revolving kredita a primljene bjanko zadužnice i garancije banke odnose se na dobavljače za dobro izvršavanje ugovora, od stipendista za dane stipendije, od poduzetnika kao osiguranje za primljene potpore te korisnicima potpore, mladim obiteljima za stambeno zbrinjavanje.</w:t>
      </w:r>
    </w:p>
    <w:p>
      <w:r>
        <w:t xml:space="preserve">Od sudskih sporova u tijeku evidentirani su slijedeći sporovi: </w:t>
      </w:r>
    </w:p>
    <w:p>
      <w:r>
        <w:t xml:space="preserve">-Tužitelj: Croatia osiguranje d.d., ošasna imovina iza pokojnog Miroslava Mihokovića, procjena financijskog učinka 4.102,01 eura, početak spora 03.11.2015. godine;</w:t>
      </w:r>
    </w:p>
    <w:p>
      <w:r>
        <w:t xml:space="preserve">-Tužitelj: Ksenija Kovač, ošasna imovina iza pokojnog Miroslava Mihokovića u iznosu 11.945,05 eura, početak spora 26.03.2019. godine;</w:t>
      </w:r>
    </w:p>
    <w:p>
      <w:r>
        <w:t xml:space="preserve">- Tužitelj: HEP Elektra d.o.o. Zagreb, radi namirenja duga za korištenje mreže i opskrbu električnom energijom iza pokojnog Ratajec Nikole, po predmetima P-529/24 i P-301/24 u iznosima 34,20 eura i 34,17 eura, početak spora 2024. godina.</w:t>
      </w:r>
    </w:p>
    <w:p>
      <w:r>
        <w:t xml:space="preserve">Po završenom sudskom sporu između Marina Tudić i Općine Pitomača, Općina ima obvezu plaćanja mjesečne rente u iznosu 210,23 eura.</w:t>
      </w:r>
    </w:p>
    <w:p>
      <w:r>
        <w:t xml:space="preserve">U 2025. godini isknjižen iz knjigovodstvenih evidencija kao tužitelj HZZO, u iznosu 15.016,91 eura, radi završetka spora, odnosno povučena tužba HZZO-a od 2016. godine, prema Jadranskom osiguranju i Općini Pitomača radi troškova liječenja stradalih u prometnoj nezgodi. </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28.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Kontrolni zbroj (šifre 01+02+03+04+05+06+07+08+09+10)</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6.646.961,99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9.735.151,64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146,5</w:t>
            </w:r>
          </w:p>
        </w:tc>
      </w:tr>
    </w:tbl>
    <w:p>
      <w:pPr>
        <w:spacing w:before="0" w:after="0"/>
      </w:pPr>
    </w:p>
    <w:p>
      <w:r>
        <w:t xml:space="preserve">Funkcijski su klasificirani rashodi poslovanja i rashodi za nabavu nefinancijske imovine općine i korisnika u iznosu 9.735.151,64 eura. </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29.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vrijednosti i obujmu imovine (šifre 91511+91512)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28.300,00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641.324,60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2266,2</w:t>
            </w:r>
          </w:p>
        </w:tc>
      </w:tr>
    </w:tbl>
    <w:p>
      <w:pPr>
        <w:spacing w:before="0" w:after="0"/>
      </w:pPr>
    </w:p>
    <w:p>
      <w:r>
        <w:t xml:space="preserve">Promjena u vrijednosti i obujmu imovine sadrži smanjenje imovine u iznosu 641.324,60 eura, a odnosi se na zemljišta darovana Virovitičko-podravskoj županiji za izgradnju osnovne škole i sportske dvorane, zemljište darovano za stambenu izgradnju za mlade obitelji, darovana nekretnina Vatrogasnog doma Stari Gradac i povećanje imovine u iznosu od 28.300,00 eura za kupljeno građevinsko zemljište za izgradnju Doma zdravlja i Vatrogasni dom, te zemljište za formiranje koridora cestovne infrastrukture obilaznica Pitomača sjever te dobivena nekretnina osnovne škole u Kladarama.,</w:t>
      </w:r>
    </w:p>
    <w:p>
      <w:r>
        <w:t xml:space="preserve">Uknjižen je temeljni kapital Virkom d.o.o. Virovitica jer je društvo Vodakom iz Pitomače brisano iz poslovnih subjekata.</w:t>
      </w:r>
    </w:p>
    <w:p>
      <w:r>
        <w:t xml:space="preserve">Proračunski korisnici nemaju promjena u vrijednosti i obujmu imovine i obveza.</w:t>
      </w:r>
    </w:p>
    <w:p>
      <w:r>
        <w:t xml:space="preserve"> </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30.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obveza na kraju izvještajnog razdoblja (šifre V001+V002-V004) i (šifre V007+V009)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160.978,82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Nepodmirene obveze na kraju izvještajnog razdoblja iznose 160.978,82 eura, a odnose se na općinske obveze. Uknjižene nedospjele obveze za rashode poslovanja iznose 82.297,62 eura, a odnose na obvezu za uredski materijal i energiju, usluge promidžbe i informiranja i ostale usluge, izradu projektne dokumentacije za izgradnju plastenika, izradu baze podataka poljoprivrednog zemljišta i izradu geodetske podloge idejnog projekta za proširenje gospodarske zone.</w:t>
      </w:r>
    </w:p>
    <w:p/>
    <w:p>
      <w:pPr>
        <w:jc w:val="center"/>
        <w:pStyle w:val="Normal"/>
        <w:spacing w:line="240" w:lineRule="auto"/>
        <w:keepNext/>
      </w:pPr>
      <w:r>
        <w:rPr>
          <w:sz w:val="28"/>
          <w:rFonts w:ascii="Times New Roman" w:hAnsi="Times New Roman"/>
        </w:rPr>
        <w:t xml:space="preserve">Bilješka 31.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78.681,20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Stanje dospjelih obveza u iznosu 78.681,20 eura odnosi se na obveze prema županiji za financiranje idejnog rješenja za izgradnju građevine II. Osnovne škole i sportske dvorane u Pitomači, obveze prema Hrvatskim vodama za uplatu naknade za uređenje voda, obveza za HEP priključak (preostalih 50%), usluga održavanja nerazvrstanih cesta, upravljanje projektom izgradnje biciklističke staze u Pitomači, upravljanje projektom izgradnje DVD Pitomača.  </w:t>
      </w:r>
    </w:p>
    <w:p>
      <w:r>
        <w:t xml:space="preserve">Obveze proračuna za naplaćena sredstva proračunskih korisnika u iznosu 3.679,50 eura odnose se na obvezu prema Dječjem vrtiću Potočnica u iznosu 2.891,53 eura i obvezu prema Knjižnici i čitaonici Pitomača u iznosu 787,97 eura radi zatvaranja žiro-računa proračunskih korisnika zbog uvođenja Riznice Općine Pitomača.</w:t>
      </w:r>
    </w:p>
    <w:p/>
    <w:p>
      <w:pPr>
        <w:jc w:val="center"/>
        <w:pStyle w:val="Normal"/>
        <w:spacing w:line="240" w:lineRule="auto"/>
        <w:keepNext/>
      </w:pPr>
      <w:r>
        <w:rPr>
          <w:sz w:val="28"/>
          <w:rFonts w:ascii="Times New Roman" w:hAnsi="Times New Roman"/>
        </w:rPr>
        <w:t xml:space="preserve">Bilješka 32.</w:t>
      </w:r>
    </w:p>
    <w:p>
      <w:pPr>
        <w:jc w:val="both"/>
        <w:pStyle w:val="Normal"/>
        <w:spacing w:line="240" w:lineRule="auto"/>
      </w:pPr>
      <w:r>
        <w:rPr>
          <w:b/>
          <w:sz w:val="24"/>
          <w:rFonts w:ascii="Times New Roman" w:hAnsi="Times New Roman"/>
        </w:rPr>
        <w:t xml:space="preserve">Unutargrupne transakcije koje su u izvještajima eliminirane</w:t>
      </w:r>
    </w:p>
    <w:p>
      <w:r>
        <w:t xml:space="preserve">U skladu s odredbama Pravilnika o proračunskom računovodstvu i Računskom planu u procesu konsolidacije, eliminirani su prihodi iskazani kod korisnika n kontu 671, prihodi iz nadležnog proračuna za financiranje redovne djelatnosti proračunskih korisnika te rashodi općine na kontu 367 prijenosi proračunskim korisnicima iz nadležnosti proračuna za financiranje redovne djelatnosti, koji su razvrstani prema kontima izvršenih rashoda. Za izvještajno razdoblje ovog konsolidiranog izvještaja nema odstupanja od planiranih sredstava.</w:t>
      </w:r>
    </w:p>
    <w:p/>
    <w:p>
      <w:pPr>
        <w:jc w:val="center"/>
        <w:pStyle w:val="Normal"/>
        <w:spacing w:line="240" w:lineRule="auto"/>
        <w:keepNext/>
      </w:pPr>
      <w:r>
        <w:rPr>
          <w:sz w:val="28"/>
          <w:rFonts w:ascii="Times New Roman" w:hAnsi="Times New Roman"/>
        </w:rPr>
        <w:t xml:space="preserve">Bilješka 33.</w:t>
      </w:r>
    </w:p>
    <w:p>
      <w:pPr>
        <w:jc w:val="both"/>
        <w:pStyle w:val="Normal"/>
        <w:spacing w:line="240" w:lineRule="auto"/>
      </w:pPr>
      <w:r>
        <w:rPr>
          <w:b/>
          <w:sz w:val="24"/>
          <w:rFonts w:ascii="Times New Roman" w:hAnsi="Times New Roman"/>
        </w:rPr>
        <w:t xml:space="preserve">Manjak ili višak u poslovanju grupe i pregled strukture manjka/viška po proračunskim korisnicima </w:t>
      </w:r>
    </w:p>
    <w:p>
      <w:r>
        <w:t xml:space="preserve">Manjak prihoda i primitaka raspoloživ u slijedećem razdoblju u iznosu 31.038,91 eura odnosi se na općinski manjak prihoda u iznosu 34.718,41 eura, proračunskog korisnika Knjižnica i čitaonica Pitomača višak u iznosu 787,97 eura i proračunskog korisnika Dječji vrtić Pitomača 2.891,53 eura.</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0366cdc90cb0433a" /></Relationships>
</file>